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6C5820" w:rsidRPr="006C5820" w:rsidRDefault="006C5820" w:rsidP="006C5820">
      <w:pPr>
        <w:rPr>
          <w:sz w:val="28"/>
        </w:rPr>
      </w:pPr>
      <w:r w:rsidRPr="006C5820">
        <w:rPr>
          <w:sz w:val="28"/>
        </w:rPr>
        <w:t>Section 6.3:  Acids and Bases</w:t>
      </w:r>
    </w:p>
    <w:p w:rsidR="006C5820" w:rsidRPr="006C5820" w:rsidRDefault="006C5820" w:rsidP="006C5820">
      <w:pPr>
        <w:rPr>
          <w:sz w:val="28"/>
        </w:rPr>
      </w:pPr>
    </w:p>
    <w:p w:rsidR="006C5820" w:rsidRPr="006C5820" w:rsidRDefault="006C5820" w:rsidP="006C5820">
      <w:pPr>
        <w:rPr>
          <w:sz w:val="28"/>
        </w:rPr>
      </w:pPr>
      <w:r w:rsidRPr="006C5820">
        <w:rPr>
          <w:sz w:val="28"/>
        </w:rPr>
        <w:t>Acids</w:t>
      </w:r>
    </w:p>
    <w:p w:rsidR="006C5820" w:rsidRPr="006C5820" w:rsidRDefault="006C5820" w:rsidP="006C5820">
      <w:pPr>
        <w:rPr>
          <w:sz w:val="28"/>
        </w:rPr>
      </w:pPr>
      <w:r w:rsidRPr="006C5820">
        <w:rPr>
          <w:sz w:val="28"/>
        </w:rPr>
        <w:t>Any compound that when dissolved in water forms a solution that;</w:t>
      </w:r>
    </w:p>
    <w:p w:rsidR="006C5820" w:rsidRPr="006C5820" w:rsidRDefault="006C5820" w:rsidP="006C5820">
      <w:pPr>
        <w:rPr>
          <w:sz w:val="28"/>
        </w:rPr>
      </w:pPr>
      <w:r w:rsidRPr="006C5820">
        <w:rPr>
          <w:sz w:val="28"/>
        </w:rPr>
        <w:t>-Tastes sour (orange juice, lemon juice)</w:t>
      </w:r>
    </w:p>
    <w:p w:rsidR="006C5820" w:rsidRPr="006C5820" w:rsidRDefault="006C5820" w:rsidP="006C5820">
      <w:pPr>
        <w:rPr>
          <w:sz w:val="28"/>
        </w:rPr>
      </w:pPr>
      <w:r w:rsidRPr="006C5820">
        <w:rPr>
          <w:sz w:val="28"/>
        </w:rPr>
        <w:t>-Corrodes metals</w:t>
      </w:r>
    </w:p>
    <w:p w:rsidR="006C5820" w:rsidRPr="006C5820" w:rsidRDefault="006C5820" w:rsidP="006C5820">
      <w:pPr>
        <w:rPr>
          <w:sz w:val="28"/>
        </w:rPr>
      </w:pPr>
      <w:r w:rsidRPr="006C5820">
        <w:rPr>
          <w:sz w:val="28"/>
        </w:rPr>
        <w:t>-Can burn tissues (will burn tissues)</w:t>
      </w:r>
    </w:p>
    <w:p w:rsidR="006C5820" w:rsidRPr="006C5820" w:rsidRDefault="006C5820" w:rsidP="006C5820">
      <w:pPr>
        <w:rPr>
          <w:sz w:val="28"/>
        </w:rPr>
      </w:pPr>
    </w:p>
    <w:p w:rsidR="006C5820" w:rsidRPr="006C5820" w:rsidRDefault="006C5820" w:rsidP="006C5820">
      <w:pPr>
        <w:rPr>
          <w:sz w:val="28"/>
        </w:rPr>
      </w:pPr>
      <w:proofErr w:type="gramStart"/>
      <w:r w:rsidRPr="006C5820">
        <w:rPr>
          <w:sz w:val="28"/>
        </w:rPr>
        <w:t>examples</w:t>
      </w:r>
      <w:proofErr w:type="gramEnd"/>
      <w:r w:rsidRPr="006C5820">
        <w:rPr>
          <w:sz w:val="28"/>
        </w:rPr>
        <w:t xml:space="preserve"> include </w:t>
      </w:r>
      <w:proofErr w:type="spellStart"/>
      <w:r w:rsidRPr="006C5820">
        <w:rPr>
          <w:sz w:val="28"/>
        </w:rPr>
        <w:t>Sulphuric</w:t>
      </w:r>
      <w:proofErr w:type="spellEnd"/>
      <w:r w:rsidRPr="006C5820">
        <w:rPr>
          <w:sz w:val="28"/>
        </w:rPr>
        <w:t xml:space="preserve"> Acid (H</w:t>
      </w:r>
      <w:r w:rsidRPr="006C5820">
        <w:rPr>
          <w:sz w:val="28"/>
          <w:vertAlign w:val="subscript"/>
        </w:rPr>
        <w:t>2</w:t>
      </w:r>
      <w:r w:rsidRPr="006C5820">
        <w:rPr>
          <w:sz w:val="28"/>
        </w:rPr>
        <w:t>SO</w:t>
      </w:r>
      <w:r w:rsidRPr="006C5820">
        <w:rPr>
          <w:sz w:val="28"/>
          <w:vertAlign w:val="subscript"/>
        </w:rPr>
        <w:t>4</w:t>
      </w:r>
      <w:r w:rsidRPr="006C5820">
        <w:rPr>
          <w:sz w:val="28"/>
        </w:rPr>
        <w:t>), Hydrochloric Acid (H</w:t>
      </w:r>
      <w:r w:rsidRPr="006C5820">
        <w:rPr>
          <w:sz w:val="28"/>
          <w:vertAlign w:val="subscript"/>
        </w:rPr>
        <w:t>3</w:t>
      </w:r>
      <w:r w:rsidRPr="006C5820">
        <w:rPr>
          <w:sz w:val="28"/>
        </w:rPr>
        <w:t>O</w:t>
      </w:r>
      <w:r w:rsidRPr="006C5820">
        <w:rPr>
          <w:sz w:val="28"/>
          <w:vertAlign w:val="superscript"/>
        </w:rPr>
        <w:t>+</w:t>
      </w:r>
      <w:r w:rsidRPr="006C5820">
        <w:rPr>
          <w:sz w:val="28"/>
        </w:rPr>
        <w:t xml:space="preserve"> + </w:t>
      </w:r>
      <w:proofErr w:type="spellStart"/>
      <w:r w:rsidRPr="006C5820">
        <w:rPr>
          <w:sz w:val="28"/>
        </w:rPr>
        <w:t>Cl</w:t>
      </w:r>
      <w:proofErr w:type="spellEnd"/>
      <w:r w:rsidRPr="006C5820">
        <w:rPr>
          <w:sz w:val="28"/>
          <w:vertAlign w:val="superscript"/>
        </w:rPr>
        <w:t>-</w:t>
      </w:r>
      <w:r w:rsidRPr="006C5820">
        <w:rPr>
          <w:sz w:val="28"/>
        </w:rPr>
        <w:t>).</w:t>
      </w:r>
    </w:p>
    <w:p w:rsidR="006C5820" w:rsidRPr="006C5820" w:rsidRDefault="006C5820" w:rsidP="006C5820">
      <w:pPr>
        <w:rPr>
          <w:sz w:val="28"/>
        </w:rPr>
      </w:pPr>
    </w:p>
    <w:p w:rsidR="006C5820" w:rsidRPr="006C5820" w:rsidRDefault="006C5820" w:rsidP="006C5820">
      <w:pPr>
        <w:rPr>
          <w:sz w:val="28"/>
        </w:rPr>
      </w:pPr>
      <w:r w:rsidRPr="006C5820">
        <w:rPr>
          <w:sz w:val="28"/>
        </w:rPr>
        <w:t>Bases</w:t>
      </w:r>
    </w:p>
    <w:p w:rsidR="006C5820" w:rsidRPr="006C5820" w:rsidRDefault="006C5820" w:rsidP="006C5820">
      <w:pPr>
        <w:rPr>
          <w:sz w:val="28"/>
        </w:rPr>
      </w:pPr>
      <w:r w:rsidRPr="006C5820">
        <w:rPr>
          <w:sz w:val="28"/>
        </w:rPr>
        <w:t>Any compound that when dissolved in water forms a solution that;</w:t>
      </w:r>
    </w:p>
    <w:p w:rsidR="006C5820" w:rsidRPr="006C5820" w:rsidRDefault="006C5820" w:rsidP="006C5820">
      <w:pPr>
        <w:rPr>
          <w:sz w:val="28"/>
        </w:rPr>
      </w:pPr>
      <w:r w:rsidRPr="006C5820">
        <w:rPr>
          <w:sz w:val="28"/>
        </w:rPr>
        <w:t>-Tastes BITTER (soda water / tonic water)</w:t>
      </w:r>
    </w:p>
    <w:p w:rsidR="006C5820" w:rsidRPr="006C5820" w:rsidRDefault="006C5820" w:rsidP="006C5820">
      <w:pPr>
        <w:rPr>
          <w:sz w:val="28"/>
        </w:rPr>
      </w:pPr>
      <w:r w:rsidRPr="006C5820">
        <w:rPr>
          <w:sz w:val="28"/>
        </w:rPr>
        <w:t xml:space="preserve">-Breaks down oils and fats </w:t>
      </w:r>
    </w:p>
    <w:p w:rsidR="006C5820" w:rsidRPr="006C5820" w:rsidRDefault="006C5820" w:rsidP="006C5820">
      <w:pPr>
        <w:rPr>
          <w:sz w:val="28"/>
        </w:rPr>
      </w:pPr>
      <w:r w:rsidRPr="006C5820">
        <w:rPr>
          <w:sz w:val="28"/>
        </w:rPr>
        <w:t>-Feels slippery to the touch</w:t>
      </w:r>
    </w:p>
    <w:p w:rsidR="006C5820" w:rsidRPr="006C5820" w:rsidRDefault="006C5820" w:rsidP="006C5820">
      <w:pPr>
        <w:rPr>
          <w:sz w:val="28"/>
        </w:rPr>
      </w:pPr>
      <w:r w:rsidRPr="006C5820">
        <w:rPr>
          <w:sz w:val="28"/>
        </w:rPr>
        <w:t>-Can burn tissues (will burn tissues)</w:t>
      </w:r>
    </w:p>
    <w:p w:rsidR="006C5820" w:rsidRPr="006C5820" w:rsidRDefault="006C5820" w:rsidP="006C5820">
      <w:pPr>
        <w:rPr>
          <w:sz w:val="28"/>
        </w:rPr>
      </w:pPr>
    </w:p>
    <w:p w:rsidR="006C5820" w:rsidRPr="006C5820" w:rsidRDefault="006C5820" w:rsidP="006C5820">
      <w:pPr>
        <w:rPr>
          <w:sz w:val="28"/>
        </w:rPr>
      </w:pPr>
      <w:r w:rsidRPr="006C5820">
        <w:rPr>
          <w:sz w:val="28"/>
        </w:rPr>
        <w:t xml:space="preserve">Both acids and bases are </w:t>
      </w:r>
      <w:proofErr w:type="spellStart"/>
      <w:r w:rsidRPr="006C5820">
        <w:rPr>
          <w:sz w:val="28"/>
        </w:rPr>
        <w:t>colourless</w:t>
      </w:r>
      <w:proofErr w:type="spellEnd"/>
      <w:r w:rsidRPr="006C5820">
        <w:rPr>
          <w:sz w:val="28"/>
        </w:rPr>
        <w:t xml:space="preserve"> and transparent (solutions).</w:t>
      </w:r>
    </w:p>
    <w:p w:rsidR="006C5820" w:rsidRPr="006C5820" w:rsidRDefault="006C5820" w:rsidP="006C5820">
      <w:pPr>
        <w:rPr>
          <w:sz w:val="28"/>
        </w:rPr>
      </w:pPr>
      <w:r w:rsidRPr="006C5820">
        <w:rPr>
          <w:sz w:val="28"/>
        </w:rPr>
        <w:t>A base will neutralize an acid, effectively turning into a neutral solution (kind of like water)</w:t>
      </w:r>
    </w:p>
    <w:p w:rsidR="006C5820" w:rsidRPr="006C5820" w:rsidRDefault="006C5820" w:rsidP="006C5820">
      <w:pPr>
        <w:rPr>
          <w:sz w:val="28"/>
        </w:rPr>
      </w:pPr>
    </w:p>
    <w:p w:rsidR="006C5820" w:rsidRPr="006C5820" w:rsidRDefault="006C5820" w:rsidP="006C5820">
      <w:pPr>
        <w:rPr>
          <w:sz w:val="28"/>
        </w:rPr>
      </w:pPr>
      <w:r w:rsidRPr="006C5820">
        <w:rPr>
          <w:sz w:val="28"/>
        </w:rPr>
        <w:t>You tell the difference between an acid and a base in chemistry by usi</w:t>
      </w:r>
      <w:r w:rsidR="006571B1">
        <w:rPr>
          <w:sz w:val="28"/>
        </w:rPr>
        <w:t xml:space="preserve">ng </w:t>
      </w:r>
      <w:proofErr w:type="gramStart"/>
      <w:r w:rsidR="006571B1">
        <w:rPr>
          <w:sz w:val="28"/>
        </w:rPr>
        <w:t>an ‘indicator’</w:t>
      </w:r>
      <w:proofErr w:type="gramEnd"/>
      <w:r w:rsidR="006571B1">
        <w:rPr>
          <w:sz w:val="28"/>
        </w:rPr>
        <w:t xml:space="preserve"> chemical. An i</w:t>
      </w:r>
      <w:r w:rsidRPr="006C5820">
        <w:rPr>
          <w:sz w:val="28"/>
        </w:rPr>
        <w:t xml:space="preserve">ndicator chemical turns a different colour in an acid than it does in a base. The indicator reacts to the “pH” of the solution. Common indicator chemicals include; </w:t>
      </w:r>
      <w:proofErr w:type="spellStart"/>
      <w:r w:rsidRPr="006C5820">
        <w:rPr>
          <w:sz w:val="28"/>
        </w:rPr>
        <w:t>Thymol</w:t>
      </w:r>
      <w:proofErr w:type="spellEnd"/>
      <w:r w:rsidRPr="006C5820">
        <w:rPr>
          <w:sz w:val="28"/>
        </w:rPr>
        <w:t xml:space="preserve"> blue, Methyl red, </w:t>
      </w:r>
      <w:proofErr w:type="spellStart"/>
      <w:r w:rsidRPr="006C5820">
        <w:rPr>
          <w:sz w:val="28"/>
        </w:rPr>
        <w:t>Bromothymol</w:t>
      </w:r>
      <w:proofErr w:type="spellEnd"/>
      <w:r w:rsidRPr="006C5820">
        <w:rPr>
          <w:sz w:val="28"/>
        </w:rPr>
        <w:t xml:space="preserve"> blue, and Phenolphthalein. A simple label we use is “litmus paper” (ever hear the term “passing the litmus test</w:t>
      </w:r>
      <w:proofErr w:type="gramStart"/>
      <w:r w:rsidRPr="006C5820">
        <w:rPr>
          <w:sz w:val="28"/>
        </w:rPr>
        <w:t>” ?</w:t>
      </w:r>
      <w:proofErr w:type="gramEnd"/>
      <w:r w:rsidRPr="006C5820">
        <w:rPr>
          <w:sz w:val="28"/>
        </w:rPr>
        <w:t xml:space="preserve"> It means </w:t>
      </w:r>
      <w:r w:rsidR="00AF7900">
        <w:rPr>
          <w:sz w:val="28"/>
        </w:rPr>
        <w:t>“</w:t>
      </w:r>
      <w:r w:rsidRPr="006C5820">
        <w:rPr>
          <w:sz w:val="28"/>
        </w:rPr>
        <w:t>did you pass the honesty test</w:t>
      </w:r>
      <w:r w:rsidR="00AF7900">
        <w:rPr>
          <w:sz w:val="28"/>
        </w:rPr>
        <w:t>?”</w:t>
      </w:r>
      <w:r w:rsidRPr="006C5820">
        <w:rPr>
          <w:sz w:val="28"/>
        </w:rPr>
        <w:t xml:space="preserve">, or </w:t>
      </w:r>
      <w:r w:rsidR="00AF7900">
        <w:rPr>
          <w:sz w:val="28"/>
        </w:rPr>
        <w:t>“Did you pass the hard work test?”</w:t>
      </w:r>
    </w:p>
    <w:p w:rsidR="006C5820" w:rsidRPr="006C5820" w:rsidRDefault="006C5820" w:rsidP="006C5820">
      <w:pPr>
        <w:rPr>
          <w:sz w:val="28"/>
        </w:rPr>
      </w:pPr>
    </w:p>
    <w:p w:rsidR="006C5820" w:rsidRPr="006C5820" w:rsidRDefault="006C5820" w:rsidP="006C5820">
      <w:pPr>
        <w:rPr>
          <w:sz w:val="28"/>
        </w:rPr>
      </w:pPr>
      <w:proofErr w:type="gramStart"/>
      <w:r w:rsidRPr="006C5820">
        <w:rPr>
          <w:sz w:val="28"/>
        </w:rPr>
        <w:t>pH</w:t>
      </w:r>
      <w:proofErr w:type="gramEnd"/>
    </w:p>
    <w:p w:rsidR="006C5820" w:rsidRPr="006C5820" w:rsidRDefault="006C5820" w:rsidP="006C5820">
      <w:pPr>
        <w:rPr>
          <w:sz w:val="28"/>
        </w:rPr>
      </w:pPr>
      <w:r w:rsidRPr="006C5820">
        <w:rPr>
          <w:sz w:val="28"/>
        </w:rPr>
        <w:t>The pH scale goes from 1 to 14. Pure water has a pH of 7. If the pH is higher than 7, the solution is considered BASIC (a base) or “alkaline”, while if the pH is less than 7, the solution is considered ACIDIC (an acid). PH measurements can be a decimal, such as 7.8, or 5.2, and we say that “a solution has a pH of 4.5”.</w:t>
      </w:r>
    </w:p>
    <w:p w:rsidR="006C5820" w:rsidRPr="006C5820" w:rsidRDefault="006C5820" w:rsidP="006C5820">
      <w:pPr>
        <w:rPr>
          <w:sz w:val="28"/>
        </w:rPr>
      </w:pPr>
    </w:p>
    <w:p w:rsidR="006C5820" w:rsidRPr="006C5820" w:rsidRDefault="006C5820" w:rsidP="006C5820">
      <w:pPr>
        <w:rPr>
          <w:sz w:val="28"/>
        </w:rPr>
      </w:pPr>
      <w:r w:rsidRPr="006C5820">
        <w:rPr>
          <w:sz w:val="28"/>
        </w:rPr>
        <w:t>We really do not know what the ‘p’ stands for, but the ‘H’ stands for “hydrogen ion”. Acids require molecules with Hydrogen atoms in them that when dissolved in water split up into H ‘ions’ (atoms missing an electron, or having an extra electron than what they are supposed to have).</w:t>
      </w:r>
    </w:p>
    <w:p w:rsidR="006C5820" w:rsidRPr="006C5820" w:rsidRDefault="006C5820" w:rsidP="006C5820">
      <w:pPr>
        <w:rPr>
          <w:sz w:val="28"/>
        </w:rPr>
      </w:pPr>
    </w:p>
    <w:p w:rsidR="006C5820" w:rsidRPr="006C5820" w:rsidRDefault="006C5820" w:rsidP="006C5820">
      <w:pPr>
        <w:rPr>
          <w:sz w:val="28"/>
        </w:rPr>
      </w:pPr>
      <w:r w:rsidRPr="006C5820">
        <w:rPr>
          <w:sz w:val="28"/>
        </w:rPr>
        <w:t>See the scale below (and page 175 in textbook):</w:t>
      </w:r>
    </w:p>
    <w:p w:rsidR="006C5820" w:rsidRDefault="006C5820" w:rsidP="006C5820"/>
    <w:p w:rsidR="006C5820" w:rsidRDefault="006C5820" w:rsidP="006C5820">
      <w:pPr>
        <w:rPr>
          <w:noProof/>
          <w:color w:val="0000FF"/>
        </w:rPr>
      </w:pPr>
    </w:p>
    <w:p w:rsidR="006C5820" w:rsidRDefault="006C5820" w:rsidP="006C5820">
      <w:pPr>
        <w:rPr>
          <w:noProof/>
          <w:color w:val="0000FF"/>
        </w:rPr>
      </w:pPr>
    </w:p>
    <w:p w:rsidR="006C5820" w:rsidRDefault="006C5820" w:rsidP="006C5820">
      <w:pPr>
        <w:rPr>
          <w:noProof/>
          <w:color w:val="0000FF"/>
        </w:rPr>
      </w:pPr>
      <w:r w:rsidRPr="0019298D">
        <w:rPr>
          <w:noProof/>
          <w:color w:val="0000FF"/>
        </w:rPr>
        <w:drawing>
          <wp:inline distT="0" distB="0" distL="0" distR="0">
            <wp:extent cx="2280920" cy="4314164"/>
            <wp:effectExtent l="0" t="0" r="0" b="0"/>
            <wp:docPr id="3" name="Picture 1" descr="ile:PH Scale.sv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e:PH Scale.svg">
                      <a:hlinkClick r:id="rId4"/>
                    </pic:cNvPr>
                    <pic:cNvPicPr>
                      <a:picLocks noChangeAspect="1" noChangeArrowheads="1"/>
                    </pic:cNvPicPr>
                  </pic:nvPicPr>
                  <pic:blipFill>
                    <a:blip r:embed="rId5"/>
                    <a:srcRect/>
                    <a:stretch>
                      <a:fillRect/>
                    </a:stretch>
                  </pic:blipFill>
                  <pic:spPr bwMode="auto">
                    <a:xfrm>
                      <a:off x="0" y="0"/>
                      <a:ext cx="2285429" cy="4322693"/>
                    </a:xfrm>
                    <a:prstGeom prst="rect">
                      <a:avLst/>
                    </a:prstGeom>
                    <a:noFill/>
                    <a:ln w="9525">
                      <a:noFill/>
                      <a:miter lim="800000"/>
                      <a:headEnd/>
                      <a:tailEnd/>
                    </a:ln>
                  </pic:spPr>
                </pic:pic>
              </a:graphicData>
            </a:graphic>
          </wp:inline>
        </w:drawing>
      </w:r>
    </w:p>
    <w:p w:rsidR="006C5820" w:rsidRDefault="006C5820" w:rsidP="006C5820">
      <w:pPr>
        <w:rPr>
          <w:noProof/>
          <w:color w:val="0000FF"/>
        </w:rPr>
      </w:pPr>
    </w:p>
    <w:p w:rsidR="006C5820" w:rsidRDefault="006C5820" w:rsidP="006C5820"/>
    <w:p w:rsidR="006C5820" w:rsidRDefault="006C5820" w:rsidP="006C5820">
      <w:proofErr w:type="gramStart"/>
      <w:r>
        <w:t>pH</w:t>
      </w:r>
      <w:proofErr w:type="gramEnd"/>
      <w:r>
        <w:t xml:space="preserve"> of living bits:</w:t>
      </w:r>
    </w:p>
    <w:tbl>
      <w:tblPr>
        <w:tblW w:w="0" w:type="auto"/>
        <w:tblCellSpacing w:w="15" w:type="dxa"/>
        <w:tblCellMar>
          <w:top w:w="15" w:type="dxa"/>
          <w:left w:w="15" w:type="dxa"/>
          <w:bottom w:w="15" w:type="dxa"/>
          <w:right w:w="15" w:type="dxa"/>
        </w:tblCellMar>
        <w:tblLook w:val="0000"/>
      </w:tblPr>
      <w:tblGrid>
        <w:gridCol w:w="2612"/>
        <w:gridCol w:w="906"/>
      </w:tblGrid>
      <w:tr w:rsidR="006C5820" w:rsidRPr="00837C46">
        <w:trPr>
          <w:tblCellSpacing w:w="15" w:type="dxa"/>
        </w:trPr>
        <w:tc>
          <w:tcPr>
            <w:tcW w:w="0" w:type="auto"/>
            <w:gridSpan w:val="2"/>
            <w:tcBorders>
              <w:top w:val="nil"/>
              <w:left w:val="nil"/>
              <w:bottom w:val="nil"/>
              <w:right w:val="nil"/>
            </w:tcBorders>
            <w:shd w:val="clear" w:color="auto" w:fill="auto"/>
            <w:vAlign w:val="center"/>
          </w:tcPr>
          <w:p w:rsidR="006C5820" w:rsidRPr="00837C46" w:rsidRDefault="006C5820" w:rsidP="00837C46">
            <w:pPr>
              <w:jc w:val="center"/>
              <w:rPr>
                <w:rFonts w:ascii="Times" w:hAnsi="Times"/>
                <w:sz w:val="20"/>
                <w:szCs w:val="20"/>
              </w:rPr>
            </w:pPr>
            <w:proofErr w:type="gramStart"/>
            <w:r w:rsidRPr="00837C46">
              <w:rPr>
                <w:rFonts w:ascii="Times" w:hAnsi="Times"/>
                <w:sz w:val="20"/>
                <w:szCs w:val="20"/>
              </w:rPr>
              <w:t>pH</w:t>
            </w:r>
            <w:proofErr w:type="gramEnd"/>
            <w:r w:rsidRPr="00837C46">
              <w:rPr>
                <w:rFonts w:ascii="Times" w:hAnsi="Times"/>
                <w:sz w:val="20"/>
                <w:szCs w:val="20"/>
              </w:rPr>
              <w:t xml:space="preserve"> in living system</w:t>
            </w:r>
            <w:r>
              <w:rPr>
                <w:rFonts w:ascii="Times" w:hAnsi="Times"/>
                <w:sz w:val="20"/>
                <w:szCs w:val="20"/>
              </w:rPr>
              <w:t>s</w:t>
            </w:r>
          </w:p>
        </w:tc>
      </w:tr>
      <w:tr w:rsidR="006C5820" w:rsidRPr="00837C46">
        <w:trPr>
          <w:tblCellSpacing w:w="15" w:type="dxa"/>
        </w:trPr>
        <w:tc>
          <w:tcPr>
            <w:tcW w:w="0" w:type="auto"/>
            <w:shd w:val="clear" w:color="auto" w:fill="auto"/>
            <w:vAlign w:val="center"/>
          </w:tcPr>
          <w:p w:rsidR="006C5820" w:rsidRPr="00837C46" w:rsidRDefault="006C5820" w:rsidP="00837C46">
            <w:r w:rsidRPr="00837C46">
              <w:t>Compartment</w:t>
            </w:r>
          </w:p>
        </w:tc>
        <w:tc>
          <w:tcPr>
            <w:tcW w:w="0" w:type="auto"/>
            <w:shd w:val="clear" w:color="auto" w:fill="auto"/>
            <w:vAlign w:val="center"/>
          </w:tcPr>
          <w:p w:rsidR="006C5820" w:rsidRPr="00837C46" w:rsidRDefault="006C5820" w:rsidP="00837C46">
            <w:pPr>
              <w:jc w:val="center"/>
              <w:rPr>
                <w:rFonts w:ascii="Times" w:hAnsi="Times"/>
                <w:b/>
                <w:sz w:val="20"/>
                <w:szCs w:val="20"/>
              </w:rPr>
            </w:pPr>
            <w:proofErr w:type="gramStart"/>
            <w:r w:rsidRPr="00837C46">
              <w:rPr>
                <w:rFonts w:ascii="Times" w:hAnsi="Times"/>
                <w:b/>
                <w:sz w:val="20"/>
                <w:szCs w:val="20"/>
              </w:rPr>
              <w:t>pH</w:t>
            </w:r>
            <w:proofErr w:type="gramEnd"/>
          </w:p>
        </w:tc>
      </w:tr>
      <w:tr w:rsidR="006C5820" w:rsidRPr="00837C46">
        <w:trPr>
          <w:tblCellSpacing w:w="15" w:type="dxa"/>
        </w:trPr>
        <w:tc>
          <w:tcPr>
            <w:tcW w:w="0" w:type="auto"/>
            <w:shd w:val="clear" w:color="auto" w:fill="auto"/>
            <w:vAlign w:val="center"/>
          </w:tcPr>
          <w:p w:rsidR="006C5820" w:rsidRPr="00837C46" w:rsidRDefault="00DC1A70" w:rsidP="00837C46">
            <w:hyperlink r:id="rId6" w:history="1">
              <w:r w:rsidR="006C5820" w:rsidRPr="00837C46">
                <w:t>Gastric acid</w:t>
              </w:r>
            </w:hyperlink>
          </w:p>
        </w:tc>
        <w:tc>
          <w:tcPr>
            <w:tcW w:w="0" w:type="auto"/>
            <w:shd w:val="clear" w:color="auto" w:fill="auto"/>
            <w:vAlign w:val="center"/>
          </w:tcPr>
          <w:p w:rsidR="006C5820" w:rsidRPr="00837C46" w:rsidRDefault="006C5820" w:rsidP="00837C46">
            <w:pPr>
              <w:rPr>
                <w:rFonts w:ascii="Times" w:hAnsi="Times"/>
                <w:sz w:val="20"/>
                <w:szCs w:val="20"/>
              </w:rPr>
            </w:pPr>
            <w:r w:rsidRPr="00837C46">
              <w:rPr>
                <w:rFonts w:ascii="Times" w:hAnsi="Times"/>
                <w:sz w:val="20"/>
                <w:szCs w:val="20"/>
              </w:rPr>
              <w:t>1</w:t>
            </w:r>
          </w:p>
        </w:tc>
      </w:tr>
      <w:tr w:rsidR="006C5820" w:rsidRPr="00837C46">
        <w:trPr>
          <w:tblCellSpacing w:w="15" w:type="dxa"/>
        </w:trPr>
        <w:tc>
          <w:tcPr>
            <w:tcW w:w="0" w:type="auto"/>
            <w:shd w:val="clear" w:color="auto" w:fill="auto"/>
            <w:vAlign w:val="center"/>
          </w:tcPr>
          <w:p w:rsidR="006C5820" w:rsidRPr="00837C46" w:rsidRDefault="00DC1A70" w:rsidP="00837C46">
            <w:hyperlink r:id="rId7" w:history="1">
              <w:r w:rsidR="006C5820" w:rsidRPr="00837C46">
                <w:t>Human skin</w:t>
              </w:r>
            </w:hyperlink>
          </w:p>
        </w:tc>
        <w:tc>
          <w:tcPr>
            <w:tcW w:w="0" w:type="auto"/>
            <w:shd w:val="clear" w:color="auto" w:fill="auto"/>
            <w:vAlign w:val="center"/>
          </w:tcPr>
          <w:p w:rsidR="006C5820" w:rsidRPr="00837C46" w:rsidRDefault="006C5820" w:rsidP="00837C46">
            <w:pPr>
              <w:rPr>
                <w:rFonts w:ascii="Times" w:hAnsi="Times"/>
                <w:sz w:val="20"/>
                <w:szCs w:val="20"/>
              </w:rPr>
            </w:pPr>
            <w:r w:rsidRPr="00837C46">
              <w:rPr>
                <w:rFonts w:ascii="Times" w:hAnsi="Times"/>
                <w:sz w:val="20"/>
                <w:szCs w:val="20"/>
              </w:rPr>
              <w:t>5.5</w:t>
            </w:r>
          </w:p>
        </w:tc>
      </w:tr>
      <w:tr w:rsidR="006C5820" w:rsidRPr="00837C46">
        <w:trPr>
          <w:tblCellSpacing w:w="15" w:type="dxa"/>
        </w:trPr>
        <w:tc>
          <w:tcPr>
            <w:tcW w:w="0" w:type="auto"/>
            <w:shd w:val="clear" w:color="auto" w:fill="auto"/>
            <w:vAlign w:val="center"/>
          </w:tcPr>
          <w:p w:rsidR="006C5820" w:rsidRPr="00837C46" w:rsidRDefault="00DC1A70" w:rsidP="00837C46">
            <w:hyperlink r:id="rId8" w:history="1">
              <w:r w:rsidR="006C5820" w:rsidRPr="00837C46">
                <w:t>Urine</w:t>
              </w:r>
            </w:hyperlink>
          </w:p>
        </w:tc>
        <w:tc>
          <w:tcPr>
            <w:tcW w:w="0" w:type="auto"/>
            <w:shd w:val="clear" w:color="auto" w:fill="auto"/>
            <w:vAlign w:val="center"/>
          </w:tcPr>
          <w:p w:rsidR="006C5820" w:rsidRPr="00837C46" w:rsidRDefault="006C5820" w:rsidP="00837C46">
            <w:pPr>
              <w:rPr>
                <w:rFonts w:ascii="Times" w:hAnsi="Times"/>
                <w:sz w:val="20"/>
                <w:szCs w:val="20"/>
              </w:rPr>
            </w:pPr>
            <w:r w:rsidRPr="00837C46">
              <w:rPr>
                <w:rFonts w:ascii="Times" w:hAnsi="Times"/>
                <w:sz w:val="20"/>
                <w:szCs w:val="20"/>
              </w:rPr>
              <w:t>6.0</w:t>
            </w:r>
          </w:p>
        </w:tc>
      </w:tr>
      <w:tr w:rsidR="006C5820" w:rsidRPr="00837C46">
        <w:trPr>
          <w:tblCellSpacing w:w="15" w:type="dxa"/>
        </w:trPr>
        <w:tc>
          <w:tcPr>
            <w:tcW w:w="0" w:type="auto"/>
            <w:shd w:val="clear" w:color="auto" w:fill="auto"/>
            <w:vAlign w:val="center"/>
          </w:tcPr>
          <w:p w:rsidR="006C5820" w:rsidRPr="00837C46" w:rsidRDefault="006C5820" w:rsidP="00837C46">
            <w:r w:rsidRPr="00837C46">
              <w:t>Pure H</w:t>
            </w:r>
            <w:r w:rsidRPr="00837C46">
              <w:rPr>
                <w:vertAlign w:val="subscript"/>
              </w:rPr>
              <w:t>2</w:t>
            </w:r>
            <w:r w:rsidRPr="00837C46">
              <w:t>O at 37 °C</w:t>
            </w:r>
          </w:p>
        </w:tc>
        <w:tc>
          <w:tcPr>
            <w:tcW w:w="0" w:type="auto"/>
            <w:shd w:val="clear" w:color="auto" w:fill="auto"/>
            <w:vAlign w:val="center"/>
          </w:tcPr>
          <w:p w:rsidR="006C5820" w:rsidRPr="00837C46" w:rsidRDefault="006C5820" w:rsidP="00837C46">
            <w:pPr>
              <w:rPr>
                <w:rFonts w:ascii="Times" w:hAnsi="Times"/>
                <w:sz w:val="20"/>
                <w:szCs w:val="20"/>
              </w:rPr>
            </w:pPr>
            <w:r w:rsidRPr="00837C46">
              <w:rPr>
                <w:rFonts w:ascii="Times" w:hAnsi="Times"/>
                <w:sz w:val="20"/>
                <w:szCs w:val="20"/>
              </w:rPr>
              <w:t>6.81</w:t>
            </w:r>
          </w:p>
        </w:tc>
      </w:tr>
      <w:tr w:rsidR="006C5820" w:rsidRPr="00837C46">
        <w:trPr>
          <w:tblCellSpacing w:w="15" w:type="dxa"/>
        </w:trPr>
        <w:tc>
          <w:tcPr>
            <w:tcW w:w="0" w:type="auto"/>
            <w:shd w:val="clear" w:color="auto" w:fill="auto"/>
            <w:vAlign w:val="center"/>
          </w:tcPr>
          <w:p w:rsidR="006C5820" w:rsidRPr="00837C46" w:rsidRDefault="00DC1A70" w:rsidP="00837C46">
            <w:hyperlink r:id="rId9" w:history="1">
              <w:r w:rsidR="006C5820" w:rsidRPr="00837C46">
                <w:t>Cerebrospinal fluid</w:t>
              </w:r>
            </w:hyperlink>
            <w:r w:rsidR="006C5820" w:rsidRPr="00837C46">
              <w:t xml:space="preserve"> (CSF)</w:t>
            </w:r>
          </w:p>
        </w:tc>
        <w:tc>
          <w:tcPr>
            <w:tcW w:w="0" w:type="auto"/>
            <w:shd w:val="clear" w:color="auto" w:fill="auto"/>
            <w:vAlign w:val="center"/>
          </w:tcPr>
          <w:p w:rsidR="006C5820" w:rsidRPr="00837C46" w:rsidRDefault="006C5820" w:rsidP="00837C46">
            <w:pPr>
              <w:rPr>
                <w:rFonts w:ascii="Times" w:hAnsi="Times"/>
                <w:sz w:val="20"/>
                <w:szCs w:val="20"/>
              </w:rPr>
            </w:pPr>
            <w:r w:rsidRPr="00837C46">
              <w:rPr>
                <w:rFonts w:ascii="Times" w:hAnsi="Times"/>
                <w:sz w:val="20"/>
                <w:szCs w:val="20"/>
              </w:rPr>
              <w:t>7.5</w:t>
            </w:r>
          </w:p>
        </w:tc>
      </w:tr>
      <w:tr w:rsidR="006C5820" w:rsidRPr="00837C46">
        <w:trPr>
          <w:tblCellSpacing w:w="15" w:type="dxa"/>
        </w:trPr>
        <w:tc>
          <w:tcPr>
            <w:tcW w:w="0" w:type="auto"/>
            <w:shd w:val="clear" w:color="auto" w:fill="auto"/>
            <w:vAlign w:val="center"/>
          </w:tcPr>
          <w:p w:rsidR="006C5820" w:rsidRPr="00837C46" w:rsidRDefault="00DC1A70" w:rsidP="00837C46">
            <w:hyperlink r:id="rId10" w:history="1">
              <w:r w:rsidR="006C5820" w:rsidRPr="00837C46">
                <w:t>Blood</w:t>
              </w:r>
            </w:hyperlink>
          </w:p>
        </w:tc>
        <w:tc>
          <w:tcPr>
            <w:tcW w:w="0" w:type="auto"/>
            <w:shd w:val="clear" w:color="auto" w:fill="auto"/>
            <w:vAlign w:val="center"/>
          </w:tcPr>
          <w:p w:rsidR="006C5820" w:rsidRPr="00837C46" w:rsidRDefault="006C5820" w:rsidP="00837C46">
            <w:pPr>
              <w:rPr>
                <w:rFonts w:ascii="Times" w:hAnsi="Times"/>
                <w:sz w:val="20"/>
                <w:szCs w:val="20"/>
              </w:rPr>
            </w:pPr>
            <w:r w:rsidRPr="00837C46">
              <w:rPr>
                <w:rFonts w:ascii="Times" w:hAnsi="Times"/>
                <w:sz w:val="20"/>
                <w:szCs w:val="20"/>
              </w:rPr>
              <w:t>7.34–7.45</w:t>
            </w:r>
          </w:p>
        </w:tc>
      </w:tr>
      <w:tr w:rsidR="006C5820" w:rsidRPr="00837C46">
        <w:trPr>
          <w:tblCellSpacing w:w="15" w:type="dxa"/>
        </w:trPr>
        <w:tc>
          <w:tcPr>
            <w:tcW w:w="0" w:type="auto"/>
            <w:shd w:val="clear" w:color="auto" w:fill="auto"/>
            <w:vAlign w:val="center"/>
          </w:tcPr>
          <w:p w:rsidR="006C5820" w:rsidRPr="00837C46" w:rsidRDefault="00DC1A70" w:rsidP="00837C46">
            <w:hyperlink r:id="rId11" w:history="1">
              <w:r w:rsidR="006C5820" w:rsidRPr="00837C46">
                <w:t>Pancreas</w:t>
              </w:r>
            </w:hyperlink>
            <w:r w:rsidR="006C5820" w:rsidRPr="00837C46">
              <w:t xml:space="preserve"> secretions</w:t>
            </w:r>
          </w:p>
        </w:tc>
        <w:tc>
          <w:tcPr>
            <w:tcW w:w="0" w:type="auto"/>
            <w:shd w:val="clear" w:color="auto" w:fill="auto"/>
            <w:vAlign w:val="center"/>
          </w:tcPr>
          <w:p w:rsidR="006C5820" w:rsidRPr="00837C46" w:rsidRDefault="006C5820" w:rsidP="00837C46">
            <w:pPr>
              <w:rPr>
                <w:rFonts w:ascii="Times" w:hAnsi="Times"/>
                <w:sz w:val="20"/>
                <w:szCs w:val="20"/>
              </w:rPr>
            </w:pPr>
            <w:r w:rsidRPr="00837C46">
              <w:rPr>
                <w:rFonts w:ascii="Times" w:hAnsi="Times"/>
                <w:sz w:val="20"/>
                <w:szCs w:val="20"/>
              </w:rPr>
              <w:t>8.1</w:t>
            </w:r>
          </w:p>
        </w:tc>
      </w:tr>
    </w:tbl>
    <w:p w:rsidR="00A7694D" w:rsidRDefault="00AF7900"/>
    <w:sectPr w:rsidR="00A7694D" w:rsidSect="007408C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C5820"/>
    <w:rsid w:val="006571B1"/>
    <w:rsid w:val="006C5820"/>
    <w:rsid w:val="00AF7900"/>
    <w:rsid w:val="00DC1A70"/>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82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Pancrea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upload.wikimedia.org/wikipedia/commons/a/a1/PH_Scale.svg" TargetMode="External"/><Relationship Id="rId5" Type="http://schemas.openxmlformats.org/officeDocument/2006/relationships/image" Target="media/image1.png"/><Relationship Id="rId6" Type="http://schemas.openxmlformats.org/officeDocument/2006/relationships/hyperlink" Target="http://en.wikipedia.org/wiki/Gastric_acid" TargetMode="External"/><Relationship Id="rId7" Type="http://schemas.openxmlformats.org/officeDocument/2006/relationships/hyperlink" Target="http://en.wikipedia.org/wiki/Human_skin" TargetMode="External"/><Relationship Id="rId8" Type="http://schemas.openxmlformats.org/officeDocument/2006/relationships/hyperlink" Target="http://en.wikipedia.org/wiki/Urine" TargetMode="External"/><Relationship Id="rId9" Type="http://schemas.openxmlformats.org/officeDocument/2006/relationships/hyperlink" Target="http://en.wikipedia.org/wiki/Cerebrospinal_fluid" TargetMode="External"/><Relationship Id="rId10" Type="http://schemas.openxmlformats.org/officeDocument/2006/relationships/hyperlink" Target="http://en.wikipedia.org/wiki/Bl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336</Words>
  <Characters>1918</Characters>
  <Application>Microsoft Macintosh Word</Application>
  <DocSecurity>0</DocSecurity>
  <Lines>15</Lines>
  <Paragraphs>3</Paragraphs>
  <ScaleCrop>false</ScaleCrop>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Steve</cp:lastModifiedBy>
  <cp:revision>3</cp:revision>
  <dcterms:created xsi:type="dcterms:W3CDTF">2014-05-06T20:27:00Z</dcterms:created>
  <dcterms:modified xsi:type="dcterms:W3CDTF">2014-05-06T20:34:00Z</dcterms:modified>
</cp:coreProperties>
</file>